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В трудовой кодекс Российской Федерации внесены дополнения, касающиеся электронного документооборота</w:t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  <w:t> 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Трудовой  кодекс Российской Федерации дополнен новыми статьями 22.1 - 22.3.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Так, под электронным документооборотом в сфере трудовых отношений (далее - электронный документооборот)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 за исключением случаев, предусмотренных настоящей статьей и статьями 22.2 и 22.3 настоящего Кодекса.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Электронный документооборот может осуществляться работодателем посредством Единой цифровой платформы в сфере занятости и трудовых отношений "Работа в России".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Работодатель вправе принять решение о введении электронного документооборота.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Работодатель обязан проинформировать об осуществлении электронного документооборота лицо, принимаемое на работу.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Подробнее с документом можно ознакомиться на официальном интернет-сайте КонсультантПлюс</w:t>
      </w:r>
      <w:r>
        <w:rPr>
          <w:rFonts w:eastAsia="Times New Roman"/>
          <w:color w:val="333333"/>
          <w:kern w:val="0"/>
          <w:sz w:val="28"/>
          <w:szCs w:val="28"/>
          <w:lang w:eastAsia="zh-cn"/>
        </w:rPr>
        <w:t xml:space="preserve"> – </w:t>
      </w:r>
      <w:hyperlink r:id="rId8" w:history="1">
        <w:r>
          <w:rPr>
            <w:rFonts w:eastAsia="Times New Roman"/>
            <w:color w:val="4062c4"/>
            <w:kern w:val="0"/>
            <w:sz w:val="28"/>
            <w:szCs w:val="28"/>
            <w:lang w:eastAsia="zh-cn"/>
          </w:rPr>
          <w:t>http://www.consultant.ru/</w:t>
        </w:r>
      </w:hyperlink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1"/>
      <w:tmLastPosIdx w:val="99"/>
    </w:tmLastPosAnchor>
    <w:tmLastPosTblRect w:left="0" w:top="0" w:right="0" w:bottom="0"/>
  </w:tmLastPos>
  <w:tmAppRevision w:date="165535954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2022-06-16T06:05:43Z</dcterms:modified>
</cp:coreProperties>
</file>